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609" w:rsidRPr="00460015" w:rsidRDefault="009F6609" w:rsidP="00625AB5">
      <w:pPr>
        <w:pStyle w:val="Heading2"/>
        <w:jc w:val="center"/>
        <w:rPr>
          <w:sz w:val="24"/>
          <w:szCs w:val="24"/>
        </w:rPr>
      </w:pPr>
      <w:r w:rsidRPr="00460015">
        <w:rPr>
          <w:noProof/>
          <w:sz w:val="24"/>
          <w:szCs w:val="24"/>
        </w:rPr>
        <w:drawing>
          <wp:inline distT="0" distB="0" distL="0" distR="0" wp14:anchorId="5F2DE7F4" wp14:editId="7F285A1F">
            <wp:extent cx="655608" cy="5736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Co_logo_trans.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2262" cy="588231"/>
                    </a:xfrm>
                    <a:prstGeom prst="rect">
                      <a:avLst/>
                    </a:prstGeom>
                  </pic:spPr>
                </pic:pic>
              </a:graphicData>
            </a:graphic>
          </wp:inline>
        </w:drawing>
      </w:r>
    </w:p>
    <w:p w:rsidR="00152BBA" w:rsidRPr="00460015" w:rsidRDefault="005C6EDC" w:rsidP="00152BBA">
      <w:pPr>
        <w:pStyle w:val="Heading2"/>
        <w:spacing w:before="0" w:line="240" w:lineRule="auto"/>
        <w:jc w:val="center"/>
        <w:rPr>
          <w:sz w:val="24"/>
          <w:szCs w:val="24"/>
        </w:rPr>
      </w:pPr>
      <w:r>
        <w:rPr>
          <w:sz w:val="24"/>
          <w:szCs w:val="24"/>
        </w:rPr>
        <w:t>San Marc</w:t>
      </w:r>
      <w:r w:rsidR="00B15F1B">
        <w:rPr>
          <w:sz w:val="24"/>
          <w:szCs w:val="24"/>
        </w:rPr>
        <w:t>o</w:t>
      </w:r>
      <w:r w:rsidR="00D31EBF">
        <w:rPr>
          <w:sz w:val="24"/>
          <w:szCs w:val="24"/>
        </w:rPr>
        <w:t>s Planning Committee Meeting #14</w:t>
      </w:r>
    </w:p>
    <w:p w:rsidR="009F6609" w:rsidRPr="00460015" w:rsidRDefault="00D31EBF" w:rsidP="00152BBA">
      <w:pPr>
        <w:pStyle w:val="Heading2"/>
        <w:spacing w:before="0" w:line="240" w:lineRule="auto"/>
        <w:jc w:val="center"/>
        <w:rPr>
          <w:sz w:val="24"/>
          <w:szCs w:val="24"/>
        </w:rPr>
      </w:pPr>
      <w:r>
        <w:rPr>
          <w:sz w:val="24"/>
          <w:szCs w:val="24"/>
        </w:rPr>
        <w:t>Meeting Summary 3</w:t>
      </w:r>
      <w:r w:rsidR="0030349D">
        <w:rPr>
          <w:sz w:val="24"/>
          <w:szCs w:val="24"/>
        </w:rPr>
        <w:t>.27</w:t>
      </w:r>
      <w:r w:rsidR="00524EA2">
        <w:rPr>
          <w:sz w:val="24"/>
          <w:szCs w:val="24"/>
        </w:rPr>
        <w:t>.19</w:t>
      </w:r>
    </w:p>
    <w:p w:rsidR="00816768" w:rsidRPr="00460015" w:rsidRDefault="009D5566" w:rsidP="005F5586">
      <w:pPr>
        <w:pStyle w:val="Heading2"/>
        <w:rPr>
          <w:sz w:val="24"/>
          <w:szCs w:val="24"/>
        </w:rPr>
      </w:pPr>
      <w:r>
        <w:rPr>
          <w:sz w:val="24"/>
          <w:szCs w:val="24"/>
        </w:rPr>
        <w:t>Introductions and Committee Participation</w:t>
      </w:r>
    </w:p>
    <w:p w:rsidR="00FC276C" w:rsidRPr="0012632A" w:rsidRDefault="0030349D" w:rsidP="0012632A">
      <w:r w:rsidRPr="0030349D">
        <w:t>Staff met with the San Marco</w:t>
      </w:r>
      <w:r w:rsidR="00D31EBF">
        <w:t>s Planning Committee on March</w:t>
      </w:r>
      <w:r w:rsidRPr="0030349D">
        <w:t xml:space="preserve"> 27</w:t>
      </w:r>
      <w:r w:rsidRPr="0030349D">
        <w:rPr>
          <w:vertAlign w:val="superscript"/>
        </w:rPr>
        <w:t>th</w:t>
      </w:r>
      <w:r w:rsidR="00D31EBF">
        <w:t xml:space="preserve"> for the 14</w:t>
      </w:r>
      <w:r w:rsidRPr="0030349D">
        <w:rPr>
          <w:vertAlign w:val="superscript"/>
        </w:rPr>
        <w:t xml:space="preserve">th </w:t>
      </w:r>
      <w:r w:rsidRPr="0030349D">
        <w:t>group meeting of the 2019 San Marcos District Plan proces</w:t>
      </w:r>
      <w:r w:rsidR="00D31EBF">
        <w:t>s. Three staff and 18</w:t>
      </w:r>
      <w:r w:rsidRPr="0030349D">
        <w:t xml:space="preserve"> community members discuss</w:t>
      </w:r>
      <w:r w:rsidR="00D31EBF">
        <w:t>ed</w:t>
      </w:r>
      <w:r w:rsidRPr="0030349D">
        <w:t xml:space="preserve"> the language needed in the Plan to address desired SLDC overlay changes. </w:t>
      </w:r>
      <w:r w:rsidR="00393EAC">
        <w:t>New members are always welcome and do not need prior authorization to attend. Please let community members know about these meetings</w:t>
      </w:r>
      <w:r w:rsidR="00EA1A86">
        <w:t>.</w:t>
      </w:r>
    </w:p>
    <w:p w:rsidR="00D31EBF" w:rsidRDefault="009D5566" w:rsidP="00D31EBF">
      <w:pPr>
        <w:pStyle w:val="Heading2"/>
        <w:rPr>
          <w:sz w:val="24"/>
          <w:szCs w:val="24"/>
        </w:rPr>
      </w:pPr>
      <w:r>
        <w:rPr>
          <w:sz w:val="24"/>
          <w:szCs w:val="24"/>
        </w:rPr>
        <w:t>Planning Process Overview</w:t>
      </w:r>
      <w:r w:rsidR="00D31EBF">
        <w:rPr>
          <w:sz w:val="24"/>
          <w:szCs w:val="24"/>
        </w:rPr>
        <w:t xml:space="preserve"> and Timeline</w:t>
      </w:r>
    </w:p>
    <w:p w:rsidR="00D31EBF" w:rsidRDefault="00D31EBF" w:rsidP="00D31EBF">
      <w:r>
        <w:t>The group reviewed the summary from the February 27</w:t>
      </w:r>
      <w:r w:rsidRPr="00D31EBF">
        <w:rPr>
          <w:vertAlign w:val="superscript"/>
        </w:rPr>
        <w:t>th</w:t>
      </w:r>
      <w:r>
        <w:t xml:space="preserve"> meeting and discussed a revised timeline to complete the planning process. The revised timeline would have the group meet at least twice in April for two hours each, and possibly in early May to compile the Preliminary Draft San Marcos Plan. This preparation would allow staff to advertise and conduct two public meetings in the District to get wider community input on the plan, a mandatory part of the plan adoption process. Following changes to the Draft Plan from community input, the group would meet again, ideally in the end of May to finalize the Draft Plan in advance of presenting it to the Planning Commission and finally to the Board of County Commissioners. </w:t>
      </w:r>
    </w:p>
    <w:p w:rsidR="00D31EBF" w:rsidRPr="00D31EBF" w:rsidRDefault="00D31EBF" w:rsidP="00D31EBF">
      <w:r>
        <w:t xml:space="preserve">This means that the next meeting will be on </w:t>
      </w:r>
      <w:r w:rsidR="007D507F">
        <w:t xml:space="preserve">Wednesday, April </w:t>
      </w:r>
      <w:r w:rsidR="00175975">
        <w:t>17</w:t>
      </w:r>
      <w:r w:rsidR="00175975" w:rsidRPr="00175975">
        <w:rPr>
          <w:vertAlign w:val="superscript"/>
        </w:rPr>
        <w:t>th</w:t>
      </w:r>
      <w:r w:rsidR="00175975">
        <w:t xml:space="preserve"> </w:t>
      </w:r>
      <w:r w:rsidR="007D507F">
        <w:t>from 6-8pm.</w:t>
      </w:r>
    </w:p>
    <w:p w:rsidR="00B20D30" w:rsidRDefault="00F95171" w:rsidP="00B20D30">
      <w:pPr>
        <w:pStyle w:val="Heading2"/>
        <w:rPr>
          <w:sz w:val="24"/>
          <w:szCs w:val="24"/>
        </w:rPr>
      </w:pPr>
      <w:r>
        <w:rPr>
          <w:sz w:val="24"/>
          <w:szCs w:val="24"/>
        </w:rPr>
        <w:t>Group Activity</w:t>
      </w:r>
      <w:r w:rsidR="00B20D30">
        <w:rPr>
          <w:sz w:val="24"/>
          <w:szCs w:val="24"/>
        </w:rPr>
        <w:t xml:space="preserve">: </w:t>
      </w:r>
      <w:r w:rsidR="00175975">
        <w:rPr>
          <w:sz w:val="24"/>
          <w:szCs w:val="24"/>
        </w:rPr>
        <w:t xml:space="preserve">Continued </w:t>
      </w:r>
      <w:r w:rsidR="00C91A7B">
        <w:rPr>
          <w:sz w:val="24"/>
          <w:szCs w:val="24"/>
        </w:rPr>
        <w:t>Review Comparison Tool</w:t>
      </w:r>
    </w:p>
    <w:p w:rsidR="00175975" w:rsidRDefault="00175975" w:rsidP="00EA1A86">
      <w:r>
        <w:t>T</w:t>
      </w:r>
      <w:r w:rsidR="002E3F69">
        <w:t xml:space="preserve">he group </w:t>
      </w:r>
      <w:r>
        <w:t>continued reviewing the Comparison Tool, isolating elements of the Sustainable Land Development Code’s San Marcos Overlay to identify the basis for each regulation (if there was one) within the 2006 and 2</w:t>
      </w:r>
      <w:r w:rsidR="00C81881">
        <w:t>015 San Marcos Plans. They also reviewed</w:t>
      </w:r>
      <w:r>
        <w:t xml:space="preserve"> how that element compares with the County’s overall standard. There was an animated discussion about the basis and meaning of setbacks in the Rural, Rural Fringe, and Rural Residential zones. Some of the group</w:t>
      </w:r>
      <w:bookmarkStart w:id="0" w:name="_GoBack"/>
      <w:bookmarkEnd w:id="0"/>
      <w:r>
        <w:t xml:space="preserve"> felt that in the Rural area, where the density is one dwelling per 40 acres, having a 100 ft. se</w:t>
      </w:r>
      <w:r w:rsidR="00C81881">
        <w:t>tback was an inconsequential distance for the landowner to accommodate</w:t>
      </w:r>
      <w:r>
        <w:t>. However, not all properties in the Rural area are 40 acres, so how would this affect a property owner whose property is significantly smaller?</w:t>
      </w:r>
    </w:p>
    <w:p w:rsidR="002E3F69" w:rsidRDefault="00175975" w:rsidP="005F5586">
      <w:r>
        <w:t xml:space="preserve">There was also discussion and the request for a gradation of setback standards according to lot size so that someone with a smaller lot would not have to meet the 100 ft. setback standard or if neighbors signed off to allow a variation of the setback requirement, it might be granted. </w:t>
      </w:r>
      <w:r w:rsidR="00C81881">
        <w:t>Within land use law, the practice of treating one property differently from all others within a zoning district is called “spot zoning.” Spot zoning is illegal because it allows the owner to use their land in a manner inconsistent with the permissible uses in the area, essentially giving special treatment or privileges to one land owner, not to the public. The group ended the meeting without consensus and opted to meet again in early April to finish the Comparison Tool.</w:t>
      </w:r>
    </w:p>
    <w:p w:rsidR="00DB7059" w:rsidRPr="00BE0E2A" w:rsidRDefault="002D327B" w:rsidP="005F5586">
      <w:r>
        <w:t>The next Committee meeti</w:t>
      </w:r>
      <w:r w:rsidR="00E31284">
        <w:t>ng wi</w:t>
      </w:r>
      <w:r w:rsidR="00175975">
        <w:t>ll be on Wednesday, April 17</w:t>
      </w:r>
      <w:r w:rsidRPr="002D327B">
        <w:rPr>
          <w:vertAlign w:val="superscript"/>
        </w:rPr>
        <w:t>th</w:t>
      </w:r>
      <w:r w:rsidR="00B20D30">
        <w:t>.</w:t>
      </w:r>
      <w:r w:rsidR="00EF651A">
        <w:t xml:space="preserve"> </w:t>
      </w:r>
    </w:p>
    <w:sectPr w:rsidR="00DB7059" w:rsidRPr="00BE0E2A" w:rsidSect="009815B3">
      <w:headerReference w:type="default" r:id="rId9"/>
      <w:pgSz w:w="12240" w:h="15840"/>
      <w:pgMar w:top="1296" w:right="1296" w:bottom="1296" w:left="1296"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0A7" w:rsidRDefault="00AF00A7" w:rsidP="009431EA">
      <w:pPr>
        <w:spacing w:after="0" w:line="240" w:lineRule="auto"/>
      </w:pPr>
      <w:r>
        <w:separator/>
      </w:r>
    </w:p>
  </w:endnote>
  <w:endnote w:type="continuationSeparator" w:id="0">
    <w:p w:rsidR="00AF00A7" w:rsidRDefault="00AF00A7" w:rsidP="0094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0A7" w:rsidRDefault="00AF00A7" w:rsidP="009431EA">
      <w:pPr>
        <w:spacing w:after="0" w:line="240" w:lineRule="auto"/>
      </w:pPr>
      <w:r>
        <w:separator/>
      </w:r>
    </w:p>
  </w:footnote>
  <w:footnote w:type="continuationSeparator" w:id="0">
    <w:p w:rsidR="00AF00A7" w:rsidRDefault="00AF00A7" w:rsidP="00943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1EA" w:rsidRPr="004D423B" w:rsidRDefault="009431EA" w:rsidP="00E15622">
    <w:pPr>
      <w:pStyle w:val="IntenseQuote"/>
      <w:ind w:left="0"/>
      <w:rPr>
        <w:rStyle w:val="SubtleReferenc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15C3C"/>
    <w:multiLevelType w:val="hybridMultilevel"/>
    <w:tmpl w:val="8EDC05AC"/>
    <w:lvl w:ilvl="0" w:tplc="185E38BA">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91F04"/>
    <w:multiLevelType w:val="hybridMultilevel"/>
    <w:tmpl w:val="AD3E948C"/>
    <w:lvl w:ilvl="0" w:tplc="822E93E8">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E5DE2"/>
    <w:multiLevelType w:val="hybridMultilevel"/>
    <w:tmpl w:val="AC98D108"/>
    <w:lvl w:ilvl="0" w:tplc="B9660630">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665D8"/>
    <w:multiLevelType w:val="hybridMultilevel"/>
    <w:tmpl w:val="B442EC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1CF2C8F"/>
    <w:multiLevelType w:val="hybridMultilevel"/>
    <w:tmpl w:val="EF729E18"/>
    <w:lvl w:ilvl="0" w:tplc="9B14F26A">
      <w:start w:val="1"/>
      <w:numFmt w:val="decimal"/>
      <w:lvlText w:val="%1."/>
      <w:lvlJc w:val="left"/>
      <w:pPr>
        <w:ind w:left="720" w:hanging="360"/>
      </w:pPr>
      <w:rPr>
        <w:b/>
      </w:rPr>
    </w:lvl>
    <w:lvl w:ilvl="1" w:tplc="0068DF4E">
      <w:start w:val="1"/>
      <w:numFmt w:val="lowerLetter"/>
      <w:lvlText w:val="%2."/>
      <w:lvlJc w:val="left"/>
      <w:pPr>
        <w:ind w:left="1440" w:hanging="360"/>
      </w:pPr>
      <w:rPr>
        <w:b/>
      </w:rPr>
    </w:lvl>
    <w:lvl w:ilvl="2" w:tplc="EBEA1EB6">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3B50FC9"/>
    <w:multiLevelType w:val="hybridMultilevel"/>
    <w:tmpl w:val="A9C0B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C07F80"/>
    <w:multiLevelType w:val="hybridMultilevel"/>
    <w:tmpl w:val="49908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806384"/>
    <w:multiLevelType w:val="hybridMultilevel"/>
    <w:tmpl w:val="EF729E18"/>
    <w:lvl w:ilvl="0" w:tplc="9B14F26A">
      <w:start w:val="1"/>
      <w:numFmt w:val="decimal"/>
      <w:lvlText w:val="%1."/>
      <w:lvlJc w:val="left"/>
      <w:pPr>
        <w:ind w:left="720" w:hanging="360"/>
      </w:pPr>
      <w:rPr>
        <w:b/>
      </w:rPr>
    </w:lvl>
    <w:lvl w:ilvl="1" w:tplc="0068DF4E">
      <w:start w:val="1"/>
      <w:numFmt w:val="lowerLetter"/>
      <w:lvlText w:val="%2."/>
      <w:lvlJc w:val="left"/>
      <w:pPr>
        <w:ind w:left="1440" w:hanging="360"/>
      </w:pPr>
      <w:rPr>
        <w:b/>
      </w:rPr>
    </w:lvl>
    <w:lvl w:ilvl="2" w:tplc="EBEA1EB6">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16304E7"/>
    <w:multiLevelType w:val="hybridMultilevel"/>
    <w:tmpl w:val="99C222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9BC5024"/>
    <w:multiLevelType w:val="hybridMultilevel"/>
    <w:tmpl w:val="6406D2C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D8D30BF"/>
    <w:multiLevelType w:val="hybridMultilevel"/>
    <w:tmpl w:val="81C4D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767E54"/>
    <w:multiLevelType w:val="hybridMultilevel"/>
    <w:tmpl w:val="4BBAB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F77934"/>
    <w:multiLevelType w:val="hybridMultilevel"/>
    <w:tmpl w:val="2AD82A8A"/>
    <w:lvl w:ilvl="0" w:tplc="4FB64E46">
      <w:start w:val="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D32476F"/>
    <w:multiLevelType w:val="hybridMultilevel"/>
    <w:tmpl w:val="EF729E18"/>
    <w:lvl w:ilvl="0" w:tplc="9B14F26A">
      <w:start w:val="1"/>
      <w:numFmt w:val="decimal"/>
      <w:lvlText w:val="%1."/>
      <w:lvlJc w:val="left"/>
      <w:pPr>
        <w:ind w:left="720" w:hanging="360"/>
      </w:pPr>
      <w:rPr>
        <w:b/>
      </w:rPr>
    </w:lvl>
    <w:lvl w:ilvl="1" w:tplc="0068DF4E">
      <w:start w:val="1"/>
      <w:numFmt w:val="lowerLetter"/>
      <w:lvlText w:val="%2."/>
      <w:lvlJc w:val="left"/>
      <w:pPr>
        <w:ind w:left="1440" w:hanging="360"/>
      </w:pPr>
      <w:rPr>
        <w:b/>
      </w:rPr>
    </w:lvl>
    <w:lvl w:ilvl="2" w:tplc="EBEA1EB6">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0"/>
  </w:num>
  <w:num w:numId="3">
    <w:abstractNumId w:val="12"/>
  </w:num>
  <w:num w:numId="4">
    <w:abstractNumId w:val="2"/>
  </w:num>
  <w:num w:numId="5">
    <w:abstractNumId w:val="1"/>
  </w:num>
  <w:num w:numId="6">
    <w:abstractNumId w:val="13"/>
  </w:num>
  <w:num w:numId="7">
    <w:abstractNumId w:val="4"/>
  </w:num>
  <w:num w:numId="8">
    <w:abstractNumId w:val="10"/>
  </w:num>
  <w:num w:numId="9">
    <w:abstractNumId w:val="9"/>
  </w:num>
  <w:num w:numId="10">
    <w:abstractNumId w:val="8"/>
  </w:num>
  <w:num w:numId="11">
    <w:abstractNumId w:val="5"/>
  </w:num>
  <w:num w:numId="12">
    <w:abstractNumId w:val="11"/>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5CF"/>
    <w:rsid w:val="000021F7"/>
    <w:rsid w:val="00023388"/>
    <w:rsid w:val="00023D88"/>
    <w:rsid w:val="00056315"/>
    <w:rsid w:val="00076CBA"/>
    <w:rsid w:val="0008043A"/>
    <w:rsid w:val="00080612"/>
    <w:rsid w:val="00080C84"/>
    <w:rsid w:val="00086B42"/>
    <w:rsid w:val="00093EAB"/>
    <w:rsid w:val="000A21A1"/>
    <w:rsid w:val="000B24AB"/>
    <w:rsid w:val="000B5E33"/>
    <w:rsid w:val="000D58A9"/>
    <w:rsid w:val="000E36FE"/>
    <w:rsid w:val="000E465D"/>
    <w:rsid w:val="000E7F38"/>
    <w:rsid w:val="001027BD"/>
    <w:rsid w:val="00102E9A"/>
    <w:rsid w:val="00124662"/>
    <w:rsid w:val="0012632A"/>
    <w:rsid w:val="00145256"/>
    <w:rsid w:val="00152BBA"/>
    <w:rsid w:val="00156FAB"/>
    <w:rsid w:val="00161676"/>
    <w:rsid w:val="00170C63"/>
    <w:rsid w:val="00175975"/>
    <w:rsid w:val="00185853"/>
    <w:rsid w:val="00185ED2"/>
    <w:rsid w:val="0019010A"/>
    <w:rsid w:val="00195C96"/>
    <w:rsid w:val="001B3FB1"/>
    <w:rsid w:val="001B4404"/>
    <w:rsid w:val="001D328D"/>
    <w:rsid w:val="001E258E"/>
    <w:rsid w:val="002146B8"/>
    <w:rsid w:val="00240047"/>
    <w:rsid w:val="00241EC2"/>
    <w:rsid w:val="002602F1"/>
    <w:rsid w:val="00264741"/>
    <w:rsid w:val="0026705E"/>
    <w:rsid w:val="00271E8C"/>
    <w:rsid w:val="00275CE3"/>
    <w:rsid w:val="00282A80"/>
    <w:rsid w:val="002910D8"/>
    <w:rsid w:val="002D0F24"/>
    <w:rsid w:val="002D327B"/>
    <w:rsid w:val="002D4D2D"/>
    <w:rsid w:val="002D5DC6"/>
    <w:rsid w:val="002E197C"/>
    <w:rsid w:val="002E3F69"/>
    <w:rsid w:val="002F0FF0"/>
    <w:rsid w:val="0030349D"/>
    <w:rsid w:val="003151F9"/>
    <w:rsid w:val="0031628E"/>
    <w:rsid w:val="00316C84"/>
    <w:rsid w:val="00327B82"/>
    <w:rsid w:val="003467E3"/>
    <w:rsid w:val="003566C6"/>
    <w:rsid w:val="00365A5C"/>
    <w:rsid w:val="00367AB1"/>
    <w:rsid w:val="00367CD2"/>
    <w:rsid w:val="00383780"/>
    <w:rsid w:val="003869A3"/>
    <w:rsid w:val="00392D68"/>
    <w:rsid w:val="00392FF4"/>
    <w:rsid w:val="00393EAC"/>
    <w:rsid w:val="003B0656"/>
    <w:rsid w:val="003C4C38"/>
    <w:rsid w:val="003D0CDB"/>
    <w:rsid w:val="003E0B92"/>
    <w:rsid w:val="003E5EAD"/>
    <w:rsid w:val="003E6198"/>
    <w:rsid w:val="0040240E"/>
    <w:rsid w:val="0043095E"/>
    <w:rsid w:val="004506D6"/>
    <w:rsid w:val="0045122D"/>
    <w:rsid w:val="00452A90"/>
    <w:rsid w:val="00460015"/>
    <w:rsid w:val="0046568E"/>
    <w:rsid w:val="004A366E"/>
    <w:rsid w:val="004B77CB"/>
    <w:rsid w:val="004C4803"/>
    <w:rsid w:val="004D3698"/>
    <w:rsid w:val="004D37FC"/>
    <w:rsid w:val="004D423B"/>
    <w:rsid w:val="0051179B"/>
    <w:rsid w:val="00511DBC"/>
    <w:rsid w:val="00524EA2"/>
    <w:rsid w:val="00542782"/>
    <w:rsid w:val="00552699"/>
    <w:rsid w:val="0057364E"/>
    <w:rsid w:val="00580145"/>
    <w:rsid w:val="00581C6F"/>
    <w:rsid w:val="0058597C"/>
    <w:rsid w:val="005B13C7"/>
    <w:rsid w:val="005C1616"/>
    <w:rsid w:val="005C2635"/>
    <w:rsid w:val="005C6EDC"/>
    <w:rsid w:val="005E32A9"/>
    <w:rsid w:val="005E4929"/>
    <w:rsid w:val="005F1D1C"/>
    <w:rsid w:val="005F5586"/>
    <w:rsid w:val="005F5BDA"/>
    <w:rsid w:val="00601BC8"/>
    <w:rsid w:val="0061579A"/>
    <w:rsid w:val="00625AB5"/>
    <w:rsid w:val="006405D0"/>
    <w:rsid w:val="00676C8D"/>
    <w:rsid w:val="00690B54"/>
    <w:rsid w:val="006960A7"/>
    <w:rsid w:val="00697C43"/>
    <w:rsid w:val="006A6EF9"/>
    <w:rsid w:val="006A710C"/>
    <w:rsid w:val="006A750F"/>
    <w:rsid w:val="006C0DE2"/>
    <w:rsid w:val="006E2682"/>
    <w:rsid w:val="006F6058"/>
    <w:rsid w:val="007037D4"/>
    <w:rsid w:val="0072434A"/>
    <w:rsid w:val="00743B18"/>
    <w:rsid w:val="00744F54"/>
    <w:rsid w:val="00747A5B"/>
    <w:rsid w:val="007531C0"/>
    <w:rsid w:val="00771924"/>
    <w:rsid w:val="007B2AF9"/>
    <w:rsid w:val="007B460D"/>
    <w:rsid w:val="007C78B3"/>
    <w:rsid w:val="007D507F"/>
    <w:rsid w:val="007D695C"/>
    <w:rsid w:val="007E0E98"/>
    <w:rsid w:val="007F450F"/>
    <w:rsid w:val="00810950"/>
    <w:rsid w:val="00816768"/>
    <w:rsid w:val="008349B9"/>
    <w:rsid w:val="00853587"/>
    <w:rsid w:val="008614AA"/>
    <w:rsid w:val="00874AD4"/>
    <w:rsid w:val="0087677C"/>
    <w:rsid w:val="008A2DC2"/>
    <w:rsid w:val="008E0337"/>
    <w:rsid w:val="008E3601"/>
    <w:rsid w:val="008E7A42"/>
    <w:rsid w:val="008F0AD7"/>
    <w:rsid w:val="008F17F7"/>
    <w:rsid w:val="008F2C67"/>
    <w:rsid w:val="00913D8E"/>
    <w:rsid w:val="00927A5D"/>
    <w:rsid w:val="009431EA"/>
    <w:rsid w:val="0094425B"/>
    <w:rsid w:val="00950068"/>
    <w:rsid w:val="00952ED7"/>
    <w:rsid w:val="00953798"/>
    <w:rsid w:val="00971FD4"/>
    <w:rsid w:val="0097778C"/>
    <w:rsid w:val="009815B3"/>
    <w:rsid w:val="00981D99"/>
    <w:rsid w:val="00985063"/>
    <w:rsid w:val="009926A6"/>
    <w:rsid w:val="009A3439"/>
    <w:rsid w:val="009B4DD1"/>
    <w:rsid w:val="009B6CBA"/>
    <w:rsid w:val="009C249B"/>
    <w:rsid w:val="009C29CD"/>
    <w:rsid w:val="009D0E7B"/>
    <w:rsid w:val="009D5566"/>
    <w:rsid w:val="009D7E6B"/>
    <w:rsid w:val="009E077A"/>
    <w:rsid w:val="009F32DB"/>
    <w:rsid w:val="009F6609"/>
    <w:rsid w:val="00A11AA1"/>
    <w:rsid w:val="00A17CB7"/>
    <w:rsid w:val="00A325F6"/>
    <w:rsid w:val="00A3774B"/>
    <w:rsid w:val="00A52661"/>
    <w:rsid w:val="00A7565F"/>
    <w:rsid w:val="00A77080"/>
    <w:rsid w:val="00A834B5"/>
    <w:rsid w:val="00A87401"/>
    <w:rsid w:val="00A875D9"/>
    <w:rsid w:val="00A935ED"/>
    <w:rsid w:val="00A97069"/>
    <w:rsid w:val="00AB0949"/>
    <w:rsid w:val="00AD5134"/>
    <w:rsid w:val="00AD587D"/>
    <w:rsid w:val="00AE5E81"/>
    <w:rsid w:val="00AF00A7"/>
    <w:rsid w:val="00AF760C"/>
    <w:rsid w:val="00B15F1B"/>
    <w:rsid w:val="00B20D30"/>
    <w:rsid w:val="00B255DE"/>
    <w:rsid w:val="00B51B73"/>
    <w:rsid w:val="00B677EC"/>
    <w:rsid w:val="00BA12E5"/>
    <w:rsid w:val="00BB25FA"/>
    <w:rsid w:val="00BB4642"/>
    <w:rsid w:val="00BC268E"/>
    <w:rsid w:val="00BC43F8"/>
    <w:rsid w:val="00BC6B4E"/>
    <w:rsid w:val="00BD051B"/>
    <w:rsid w:val="00BE0E2A"/>
    <w:rsid w:val="00BE35CF"/>
    <w:rsid w:val="00BE6DD5"/>
    <w:rsid w:val="00BF6481"/>
    <w:rsid w:val="00C25655"/>
    <w:rsid w:val="00C30C58"/>
    <w:rsid w:val="00C32FEE"/>
    <w:rsid w:val="00C4478F"/>
    <w:rsid w:val="00C73B6E"/>
    <w:rsid w:val="00C758D4"/>
    <w:rsid w:val="00C81881"/>
    <w:rsid w:val="00C91A7B"/>
    <w:rsid w:val="00CA1875"/>
    <w:rsid w:val="00CA6DAF"/>
    <w:rsid w:val="00CC2E03"/>
    <w:rsid w:val="00D03EFC"/>
    <w:rsid w:val="00D10B4F"/>
    <w:rsid w:val="00D31EBF"/>
    <w:rsid w:val="00D40F81"/>
    <w:rsid w:val="00D57929"/>
    <w:rsid w:val="00D6600F"/>
    <w:rsid w:val="00D876D8"/>
    <w:rsid w:val="00D95477"/>
    <w:rsid w:val="00DB3625"/>
    <w:rsid w:val="00DB7059"/>
    <w:rsid w:val="00DC1433"/>
    <w:rsid w:val="00DC2AB0"/>
    <w:rsid w:val="00DC2E9D"/>
    <w:rsid w:val="00DC2F5D"/>
    <w:rsid w:val="00DC3A20"/>
    <w:rsid w:val="00DC5ACA"/>
    <w:rsid w:val="00DD020D"/>
    <w:rsid w:val="00DE695B"/>
    <w:rsid w:val="00E02DD9"/>
    <w:rsid w:val="00E03430"/>
    <w:rsid w:val="00E13EB4"/>
    <w:rsid w:val="00E15622"/>
    <w:rsid w:val="00E26302"/>
    <w:rsid w:val="00E31284"/>
    <w:rsid w:val="00E372DB"/>
    <w:rsid w:val="00E41D7D"/>
    <w:rsid w:val="00E43804"/>
    <w:rsid w:val="00E50E9E"/>
    <w:rsid w:val="00E57187"/>
    <w:rsid w:val="00E60A3D"/>
    <w:rsid w:val="00E62E8D"/>
    <w:rsid w:val="00E7405D"/>
    <w:rsid w:val="00E822AB"/>
    <w:rsid w:val="00E82347"/>
    <w:rsid w:val="00EA1A86"/>
    <w:rsid w:val="00EA2296"/>
    <w:rsid w:val="00EC3D91"/>
    <w:rsid w:val="00EC50BB"/>
    <w:rsid w:val="00EF651A"/>
    <w:rsid w:val="00F01391"/>
    <w:rsid w:val="00F0561A"/>
    <w:rsid w:val="00F07BA3"/>
    <w:rsid w:val="00F20109"/>
    <w:rsid w:val="00F31DF4"/>
    <w:rsid w:val="00F33C61"/>
    <w:rsid w:val="00F36293"/>
    <w:rsid w:val="00F46B55"/>
    <w:rsid w:val="00F51DF2"/>
    <w:rsid w:val="00F61538"/>
    <w:rsid w:val="00F65C67"/>
    <w:rsid w:val="00F67813"/>
    <w:rsid w:val="00F80856"/>
    <w:rsid w:val="00F92F23"/>
    <w:rsid w:val="00F93D2B"/>
    <w:rsid w:val="00F941CE"/>
    <w:rsid w:val="00F95171"/>
    <w:rsid w:val="00FC0D50"/>
    <w:rsid w:val="00FC276C"/>
    <w:rsid w:val="00FC67F1"/>
    <w:rsid w:val="00FD65B9"/>
    <w:rsid w:val="00FF2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63F272F"/>
  <w15:docId w15:val="{EA4FF58E-CAE3-420A-A025-36CB0D19E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167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56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E36FE"/>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9D556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3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3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1EA"/>
  </w:style>
  <w:style w:type="paragraph" w:styleId="Footer">
    <w:name w:val="footer"/>
    <w:basedOn w:val="Normal"/>
    <w:link w:val="FooterChar"/>
    <w:uiPriority w:val="99"/>
    <w:unhideWhenUsed/>
    <w:rsid w:val="00943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1EA"/>
  </w:style>
  <w:style w:type="paragraph" w:styleId="IntenseQuote">
    <w:name w:val="Intense Quote"/>
    <w:basedOn w:val="Normal"/>
    <w:next w:val="Normal"/>
    <w:link w:val="IntenseQuoteChar"/>
    <w:uiPriority w:val="30"/>
    <w:qFormat/>
    <w:rsid w:val="00DC2E9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C2E9D"/>
    <w:rPr>
      <w:b/>
      <w:bCs/>
      <w:i/>
      <w:iCs/>
      <w:color w:val="4F81BD" w:themeColor="accent1"/>
    </w:rPr>
  </w:style>
  <w:style w:type="paragraph" w:styleId="ListParagraph">
    <w:name w:val="List Paragraph"/>
    <w:basedOn w:val="Normal"/>
    <w:uiPriority w:val="34"/>
    <w:qFormat/>
    <w:rsid w:val="00E15622"/>
    <w:pPr>
      <w:ind w:left="720"/>
      <w:contextualSpacing/>
    </w:pPr>
  </w:style>
  <w:style w:type="character" w:customStyle="1" w:styleId="Heading2Char">
    <w:name w:val="Heading 2 Char"/>
    <w:basedOn w:val="DefaultParagraphFont"/>
    <w:link w:val="Heading2"/>
    <w:uiPriority w:val="9"/>
    <w:rsid w:val="00E15622"/>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DC1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433"/>
    <w:rPr>
      <w:rFonts w:ascii="Tahoma" w:hAnsi="Tahoma" w:cs="Tahoma"/>
      <w:sz w:val="16"/>
      <w:szCs w:val="16"/>
    </w:rPr>
  </w:style>
  <w:style w:type="character" w:customStyle="1" w:styleId="Heading3Char">
    <w:name w:val="Heading 3 Char"/>
    <w:basedOn w:val="DefaultParagraphFont"/>
    <w:link w:val="Heading3"/>
    <w:rsid w:val="000E36FE"/>
    <w:rPr>
      <w:rFonts w:ascii="Cambria" w:eastAsia="Times New Roman" w:hAnsi="Cambria" w:cs="Times New Roman"/>
      <w:b/>
      <w:bCs/>
      <w:sz w:val="26"/>
      <w:szCs w:val="26"/>
    </w:rPr>
  </w:style>
  <w:style w:type="character" w:customStyle="1" w:styleId="Heading1Char">
    <w:name w:val="Heading 1 Char"/>
    <w:basedOn w:val="DefaultParagraphFont"/>
    <w:link w:val="Heading1"/>
    <w:uiPriority w:val="9"/>
    <w:rsid w:val="00816768"/>
    <w:rPr>
      <w:rFonts w:asciiTheme="majorHAnsi" w:eastAsiaTheme="majorEastAsia" w:hAnsiTheme="majorHAnsi" w:cstheme="majorBidi"/>
      <w:b/>
      <w:bCs/>
      <w:color w:val="365F91" w:themeColor="accent1" w:themeShade="BF"/>
      <w:sz w:val="28"/>
      <w:szCs w:val="28"/>
    </w:rPr>
  </w:style>
  <w:style w:type="character" w:styleId="SubtleReference">
    <w:name w:val="Subtle Reference"/>
    <w:basedOn w:val="DefaultParagraphFont"/>
    <w:uiPriority w:val="31"/>
    <w:qFormat/>
    <w:rsid w:val="004D423B"/>
    <w:rPr>
      <w:smallCaps/>
      <w:color w:val="C0504D" w:themeColor="accent2"/>
      <w:u w:val="single"/>
    </w:rPr>
  </w:style>
  <w:style w:type="character" w:styleId="Hyperlink">
    <w:name w:val="Hyperlink"/>
    <w:basedOn w:val="DefaultParagraphFont"/>
    <w:uiPriority w:val="99"/>
    <w:unhideWhenUsed/>
    <w:rsid w:val="00771924"/>
    <w:rPr>
      <w:color w:val="0000FF" w:themeColor="hyperlink"/>
      <w:u w:val="single"/>
    </w:rPr>
  </w:style>
  <w:style w:type="paragraph" w:styleId="FootnoteText">
    <w:name w:val="footnote text"/>
    <w:basedOn w:val="Normal"/>
    <w:link w:val="FootnoteTextChar"/>
    <w:uiPriority w:val="99"/>
    <w:semiHidden/>
    <w:unhideWhenUsed/>
    <w:rsid w:val="00FC0D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0D50"/>
    <w:rPr>
      <w:sz w:val="20"/>
      <w:szCs w:val="20"/>
    </w:rPr>
  </w:style>
  <w:style w:type="character" w:styleId="FootnoteReference">
    <w:name w:val="footnote reference"/>
    <w:basedOn w:val="DefaultParagraphFont"/>
    <w:uiPriority w:val="99"/>
    <w:semiHidden/>
    <w:unhideWhenUsed/>
    <w:rsid w:val="00FC0D50"/>
    <w:rPr>
      <w:vertAlign w:val="superscript"/>
    </w:rPr>
  </w:style>
  <w:style w:type="character" w:customStyle="1" w:styleId="Heading4Char">
    <w:name w:val="Heading 4 Char"/>
    <w:basedOn w:val="DefaultParagraphFont"/>
    <w:link w:val="Heading4"/>
    <w:uiPriority w:val="9"/>
    <w:rsid w:val="009D5566"/>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3467E3"/>
    <w:rPr>
      <w:sz w:val="16"/>
      <w:szCs w:val="16"/>
    </w:rPr>
  </w:style>
  <w:style w:type="paragraph" w:styleId="CommentText">
    <w:name w:val="annotation text"/>
    <w:basedOn w:val="Normal"/>
    <w:link w:val="CommentTextChar"/>
    <w:uiPriority w:val="99"/>
    <w:semiHidden/>
    <w:unhideWhenUsed/>
    <w:rsid w:val="003467E3"/>
    <w:pPr>
      <w:spacing w:line="240" w:lineRule="auto"/>
    </w:pPr>
    <w:rPr>
      <w:sz w:val="20"/>
      <w:szCs w:val="20"/>
    </w:rPr>
  </w:style>
  <w:style w:type="character" w:customStyle="1" w:styleId="CommentTextChar">
    <w:name w:val="Comment Text Char"/>
    <w:basedOn w:val="DefaultParagraphFont"/>
    <w:link w:val="CommentText"/>
    <w:uiPriority w:val="99"/>
    <w:semiHidden/>
    <w:rsid w:val="003467E3"/>
    <w:rPr>
      <w:sz w:val="20"/>
      <w:szCs w:val="20"/>
    </w:rPr>
  </w:style>
  <w:style w:type="paragraph" w:styleId="CommentSubject">
    <w:name w:val="annotation subject"/>
    <w:basedOn w:val="CommentText"/>
    <w:next w:val="CommentText"/>
    <w:link w:val="CommentSubjectChar"/>
    <w:uiPriority w:val="99"/>
    <w:semiHidden/>
    <w:unhideWhenUsed/>
    <w:rsid w:val="003467E3"/>
    <w:rPr>
      <w:b/>
      <w:bCs/>
    </w:rPr>
  </w:style>
  <w:style w:type="character" w:customStyle="1" w:styleId="CommentSubjectChar">
    <w:name w:val="Comment Subject Char"/>
    <w:basedOn w:val="CommentTextChar"/>
    <w:link w:val="CommentSubject"/>
    <w:uiPriority w:val="99"/>
    <w:semiHidden/>
    <w:rsid w:val="003467E3"/>
    <w:rPr>
      <w:b/>
      <w:bCs/>
      <w:sz w:val="20"/>
      <w:szCs w:val="20"/>
    </w:rPr>
  </w:style>
  <w:style w:type="paragraph" w:styleId="Caption">
    <w:name w:val="caption"/>
    <w:basedOn w:val="Normal"/>
    <w:next w:val="Normal"/>
    <w:uiPriority w:val="35"/>
    <w:unhideWhenUsed/>
    <w:qFormat/>
    <w:rsid w:val="006960A7"/>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C961A-36A8-4593-B588-08A2DD8CF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1524</TotalTime>
  <Pages>1</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Santa Fe County</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 Ijadi</dc:creator>
  <cp:lastModifiedBy>Lucy G. Foma</cp:lastModifiedBy>
  <cp:revision>5</cp:revision>
  <cp:lastPrinted>2017-07-14T21:45:00Z</cp:lastPrinted>
  <dcterms:created xsi:type="dcterms:W3CDTF">2019-03-28T20:11:00Z</dcterms:created>
  <dcterms:modified xsi:type="dcterms:W3CDTF">2019-03-29T21:35:00Z</dcterms:modified>
</cp:coreProperties>
</file>